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00" w:before="200" w:lineRule="auto"/>
        <w:rPr/>
      </w:pPr>
      <w:bookmarkStart w:colFirst="0" w:colLast="0" w:name="_fj3si164nxr5" w:id="0"/>
      <w:bookmarkEnd w:id="0"/>
      <w:r w:rsidDel="00000000" w:rsidR="00000000" w:rsidRPr="00000000">
        <w:rPr>
          <w:rtl w:val="0"/>
        </w:rPr>
        <w:t xml:space="preserve">Отличия ГПД от трудового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Критерий сравнения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Трудовой договор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Гражданско-правовой договор (ГПД)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Нормативное регулирование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Трудовой кодекс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Гражданский кодекс РФ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Федеральный закон от 27.11.2018 № 422-ФЗ — в части ГПД с самозанятыми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Название договора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Трудовой договор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Договор подряда, договор возмездного оказания услуг, агентский договор и т.д.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Название сторон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Работодатель и работник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Заказчик и подрядчик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Заказчик и исполнитель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 т.д., в зависимости от вида договора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Предмет договора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Выполнение работником за плату трудовой функции, установленной трудовым договором и должностной инструкцией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Выполнение определенной работы или оказание услуги (определенных действий или определенной деятельности) — ст. 702, ст. 779 ГК РФ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При отсутствии перечня услуг (работ) договор считается незаключенным (ст. 432 ГК РФ)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Что оплачивается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Процесс труда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Результат труда или услуги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Права и обязанности сторон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Установлены Трудовым кодексом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Стороны юридически равны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Права и обязанности определяют договором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Использование труда и его результатов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Работодатель может использовать труд работника так широко, как это указано в должностной инструкции и/или ТД (ст. 57 ТК РФ)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Заказчик имеет право использовать труд исполнителя исключительно в рамках конкретной, указанной в договоре работы (услуги) (ст. 702, 779 ГК РФ)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Возможность выполнения работ третьим лицом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Да, если установлено договором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Условия оплаты труда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Зарплата в соответствии с установленными у работодателя системами оплаты труда: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20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вознаграждение за труд (оклад или тарифная ставка);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beforeAutospacing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компенсационные выплаты;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beforeAutospacing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стимулирующие выплаты.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Работодатель может применять не предусмотренные системой оплаты труда поощрения и компенсации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Работодатель обязан регулярно (не реже двух раз в месяц) выплачивать заработную плату в размере не ниже МРОТ или МЗП по субъекту РФ (ст. 133, 133.1, 136 ТК РФ)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Оплата конечного результата. Для того чтобы произвести оплату, стороны должны подписать акт об оказании услуг, или выполнении работ. Только после этого возможна оплата.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 договоренности сторон допускается предварительная оплата выполненной работы или отдельных ее этапов (ст. 711 ГК РФ).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Размер и порядок оплаты определяются по соглашению сторон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Документы для оплаты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Табель учета рабочего времени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Расчетный листок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Акт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Срок договора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 общему правилу — на неопределенный срок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Срочный — по основаниям в ст. 59 ТК РФ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Устанавливают начальный и конечный сроки. Могут быть промежуточные (этапы выполнения работ)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Максимальный срок действия договора не определен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Безопасно — 11-12 месяцев, чтобы не было систематического характера отношений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Условия труда и обеспечение ресурсами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Обеспечивает работодатель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Заказчик может обеспечивать ресурсами, если это установлено договором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 общему правилу — иждивение подрядчика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Контроль процесса труда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Соблюдение работником ПВТР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Заказчик контролирует результат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Ответственность работника (исполнителя)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Дисциплинарная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Материальная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Возмещение убытков</w:t>
            </w:r>
          </w:p>
        </w:tc>
      </w:tr>
    </w:tbl>
    <w:p w:rsidR="00000000" w:rsidDel="00000000" w:rsidP="00000000" w:rsidRDefault="00000000" w:rsidRPr="00000000" w14:paraId="00000044">
      <w:pPr>
        <w:spacing w:after="200" w:before="200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